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中铝山西区域法律中心招聘公告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根据工作需要，经研究，决定面向社会公开招聘山西区域法律中心法律事务员。现将有关事宜公告如下：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一、招聘岗位、职责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任职条件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、招聘程序及待遇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法律顾问助理1名。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协助处理相关法律事务，具体为：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1.负责区域内企业法律事务和合规管理工作，为企业运营提供法律服务和保障；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2.参与区域内企业重大经营决策，对相关法律风险提出防范意见;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3.负责区域内企业合同、规章制度等法律审核工作；                               4.处理区域内企业法律纠纷及诉讼案件;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5.负责区域内企业法治合规宣传教育、培训工作;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6.其他法律合规事务工作。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（三）任职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法律顾问助理任职条件：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1.年龄一般不超过30周岁；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2.法学或相关专业，全日制大学本科及以上学历；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3.具备扎实的法学理论知识、较强的问题分析与解决能力；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4.具有法律职业资格证、律师资格证或企业法律顾问资格证。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5.工作地点为山西省吕梁市兴县或运城河津市。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（四）招聘程序及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公开招聘工作按照报名、资格审查、初选、面试、背景调查等程序进行；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按照有关规定，对聘用人员实行试用期制；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待遇面议。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、报名方式、时间及要求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报名截止时间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通过发送电子邮件方式报名。邮件最大不要超过5M，邮件主题请按以下格式填写：报名岗位+姓名。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请完整填写《报名登记表》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相关证明材料扫描电子版请于报名截止日前发送至联系邮箱，参加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时需携带相关材料原件。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1.应聘者报名需要提供的相关证明材料：①登记表，本人身份证、工作证明、学历、学位、职（执）业资格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和/或法律顾问资格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；②近年来主要工作业绩（成果）材料1份；③电子照片。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山西区域法律中心根据考察情况从报名人员中选出符合条件的人选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（面试时间另行通知）。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应聘者填写及提供材料须真实可靠，如有弄虚作假者不予录用，已经录用的公司有权解除劳动合同。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公司不接待来访，应聘信息承诺保密，应聘材料恕不退还。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联系人及联系方式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柴水东 13233256633  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"mailto:sxhzcsd@163.com"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sxhzcsd@163.com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魏夏英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15235902952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"mailto:18295737631@163.com"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15235902952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地址：山西省河津市龙门大道北延段9号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邮编：043300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附件：报名登记表</w:t>
      </w:r>
    </w:p>
    <w:p>
      <w:pPr>
        <w:ind w:firstLine="4320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320" w:firstLineChars="13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中铝山西区域法律中心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napToGrid w:val="0"/>
        <w:spacing w:after="156" w:afterLines="5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报名登记表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94"/>
        <w:gridCol w:w="1166"/>
        <w:gridCol w:w="1214"/>
        <w:gridCol w:w="1260"/>
        <w:gridCol w:w="379"/>
        <w:gridCol w:w="953"/>
        <w:gridCol w:w="668"/>
        <w:gridCol w:w="26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71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71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  口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771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ind w:firstLine="210" w:firstLineChars="100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9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104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  历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全日制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外语水平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067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  职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6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41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熟悉专业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及 特 长</w:t>
            </w:r>
          </w:p>
        </w:tc>
        <w:tc>
          <w:tcPr>
            <w:tcW w:w="826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7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现工作单位及职务</w:t>
            </w:r>
          </w:p>
        </w:tc>
        <w:tc>
          <w:tcPr>
            <w:tcW w:w="826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E-MAIL</w:t>
            </w:r>
          </w:p>
        </w:tc>
        <w:tc>
          <w:tcPr>
            <w:tcW w:w="37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通信地址</w:t>
            </w:r>
          </w:p>
        </w:tc>
        <w:tc>
          <w:tcPr>
            <w:tcW w:w="826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工作经历</w:t>
            </w:r>
          </w:p>
        </w:tc>
        <w:tc>
          <w:tcPr>
            <w:tcW w:w="18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4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08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8783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ind w:firstLine="6510" w:firstLineChars="3100"/>
              <w:rPr>
                <w:rFonts w:hint="eastAsia" w:ascii="宋体" w:hAnsi="宋体" w:cs="宋体"/>
              </w:rPr>
            </w:pPr>
          </w:p>
        </w:tc>
      </w:tr>
    </w:tbl>
    <w:p>
      <w:pPr>
        <w:rPr>
          <w:rFonts w:hint="eastAsia" w:ascii="宋体" w:hAnsi="宋体" w:cs="宋体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51"/>
        <w:gridCol w:w="992"/>
        <w:gridCol w:w="850"/>
        <w:gridCol w:w="943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34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学习培训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经历</w:t>
            </w:r>
          </w:p>
        </w:tc>
        <w:tc>
          <w:tcPr>
            <w:tcW w:w="87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（从参加工作起填写）</w:t>
            </w:r>
          </w:p>
          <w:p>
            <w:pPr>
              <w:snapToGrid w:val="0"/>
              <w:rPr>
                <w:rFonts w:hint="eastAsia" w:ascii="宋体" w:hAnsi="宋体" w:cs="宋体"/>
              </w:rPr>
            </w:pPr>
          </w:p>
          <w:p>
            <w:pPr>
              <w:snapToGrid w:val="0"/>
              <w:rPr>
                <w:rFonts w:hint="eastAsia" w:ascii="宋体" w:hAnsi="宋体" w:cs="宋体"/>
              </w:rPr>
            </w:pPr>
          </w:p>
          <w:p>
            <w:pPr>
              <w:snapToGrid w:val="0"/>
              <w:rPr>
                <w:rFonts w:hint="eastAsia" w:ascii="宋体" w:hAnsi="宋体" w:cs="宋体"/>
              </w:rPr>
            </w:pPr>
          </w:p>
          <w:p>
            <w:pPr>
              <w:snapToGrid w:val="0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本人曾受奖励</w:t>
            </w:r>
          </w:p>
        </w:tc>
        <w:tc>
          <w:tcPr>
            <w:tcW w:w="87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602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近五年主要业绩和专业技术成果简介</w:t>
            </w:r>
          </w:p>
        </w:tc>
        <w:tc>
          <w:tcPr>
            <w:tcW w:w="87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（表格写不下，可另附文字材料）</w:t>
            </w:r>
          </w:p>
          <w:p>
            <w:pPr>
              <w:snapToGrid w:val="0"/>
              <w:ind w:firstLine="420" w:firstLineChars="200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24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家庭成员</w:t>
            </w:r>
          </w:p>
        </w:tc>
        <w:tc>
          <w:tcPr>
            <w:tcW w:w="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24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配偶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24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子女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24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24" w:hRule="atLeast"/>
          <w:jc w:val="center"/>
        </w:trPr>
        <w:tc>
          <w:tcPr>
            <w:tcW w:w="6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9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515" w:hRule="atLeast"/>
          <w:jc w:val="center"/>
        </w:trPr>
        <w:tc>
          <w:tcPr>
            <w:tcW w:w="94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536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所在单位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审核意见</w:t>
            </w:r>
          </w:p>
        </w:tc>
        <w:tc>
          <w:tcPr>
            <w:tcW w:w="79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cs="宋体"/>
              </w:rPr>
            </w:pPr>
          </w:p>
          <w:p>
            <w:pPr>
              <w:snapToGrid w:val="0"/>
              <w:rPr>
                <w:rFonts w:hint="eastAsia" w:ascii="宋体" w:hAnsi="宋体" w:cs="宋体"/>
              </w:rPr>
            </w:pPr>
          </w:p>
          <w:p>
            <w:pPr>
              <w:snapToGrid w:val="0"/>
              <w:rPr>
                <w:rFonts w:hint="eastAsia" w:ascii="宋体" w:hAnsi="宋体" w:cs="宋体"/>
              </w:rPr>
            </w:pPr>
          </w:p>
        </w:tc>
      </w:tr>
    </w:tbl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46F28B"/>
    <w:multiLevelType w:val="singleLevel"/>
    <w:tmpl w:val="D946F28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ODAyZmJjNzc1ZmVlM2U2ZWIwOGEwMzUxMDg0ZDAifQ=="/>
  </w:docVars>
  <w:rsids>
    <w:rsidRoot w:val="00A059B9"/>
    <w:rsid w:val="001270E5"/>
    <w:rsid w:val="002009A9"/>
    <w:rsid w:val="00A059B9"/>
    <w:rsid w:val="00DB2A6C"/>
    <w:rsid w:val="00DB66CC"/>
    <w:rsid w:val="00ED0718"/>
    <w:rsid w:val="020D385A"/>
    <w:rsid w:val="038D3BC7"/>
    <w:rsid w:val="039C1CE0"/>
    <w:rsid w:val="110472E7"/>
    <w:rsid w:val="160E73D2"/>
    <w:rsid w:val="17F503C1"/>
    <w:rsid w:val="1ABD5F72"/>
    <w:rsid w:val="1BC649F5"/>
    <w:rsid w:val="1D362002"/>
    <w:rsid w:val="227A36BB"/>
    <w:rsid w:val="23520E29"/>
    <w:rsid w:val="26D60FC4"/>
    <w:rsid w:val="280A5685"/>
    <w:rsid w:val="28960762"/>
    <w:rsid w:val="2A007C29"/>
    <w:rsid w:val="2A272972"/>
    <w:rsid w:val="2AD3642B"/>
    <w:rsid w:val="2F9E27C6"/>
    <w:rsid w:val="31B636BD"/>
    <w:rsid w:val="32DF3E7B"/>
    <w:rsid w:val="35E2382D"/>
    <w:rsid w:val="3C853696"/>
    <w:rsid w:val="3FE13669"/>
    <w:rsid w:val="40BC57CB"/>
    <w:rsid w:val="43421B0A"/>
    <w:rsid w:val="47D06A35"/>
    <w:rsid w:val="4C6D0CF6"/>
    <w:rsid w:val="4FAF1F59"/>
    <w:rsid w:val="510A6257"/>
    <w:rsid w:val="518955BF"/>
    <w:rsid w:val="5199506E"/>
    <w:rsid w:val="54B756AE"/>
    <w:rsid w:val="57B95132"/>
    <w:rsid w:val="58B62E88"/>
    <w:rsid w:val="59D95C1D"/>
    <w:rsid w:val="650C6C34"/>
    <w:rsid w:val="6DAA54AF"/>
    <w:rsid w:val="6F026484"/>
    <w:rsid w:val="744764CA"/>
    <w:rsid w:val="765A00C8"/>
    <w:rsid w:val="790E4865"/>
    <w:rsid w:val="7C1E7453"/>
    <w:rsid w:val="7E0E3838"/>
    <w:rsid w:val="7F133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113"/>
      <w:outlineLvl w:val="2"/>
    </w:pPr>
    <w:rPr>
      <w:rFonts w:ascii="Times New Roman" w:hAnsi="Times New Roman" w:eastAsia="楷体_GB2312" w:cs="Calibri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0359-5036090</Company>
  <Pages>5</Pages>
  <Words>195</Words>
  <Characters>1113</Characters>
  <Lines>9</Lines>
  <Paragraphs>2</Paragraphs>
  <TotalTime>25</TotalTime>
  <ScaleCrop>false</ScaleCrop>
  <LinksUpToDate>false</LinksUpToDate>
  <CharactersWithSpaces>1306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sx_duxd</dc:creator>
  <cp:lastModifiedBy>卞涛</cp:lastModifiedBy>
  <cp:lastPrinted>2018-02-23T07:36:14Z</cp:lastPrinted>
  <dcterms:modified xsi:type="dcterms:W3CDTF">2024-01-19T02:44:11Z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E9D67EB947B84332A2FB4EA1ECE753B1</vt:lpwstr>
  </property>
</Properties>
</file>